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C" w:rsidRPr="00934C0C" w:rsidRDefault="00934C0C" w:rsidP="00934C0C">
      <w:pPr>
        <w:spacing w:after="0"/>
        <w:jc w:val="center"/>
        <w:rPr>
          <w:b/>
          <w:sz w:val="36"/>
          <w:u w:val="single"/>
        </w:rPr>
      </w:pPr>
      <w:r w:rsidRPr="00934C0C">
        <w:rPr>
          <w:b/>
          <w:sz w:val="36"/>
          <w:u w:val="single"/>
        </w:rPr>
        <w:t>Prevent Duty Policy</w:t>
      </w:r>
    </w:p>
    <w:tbl>
      <w:tblPr>
        <w:tblStyle w:val="TableGrid0"/>
        <w:tblW w:w="9241" w:type="dxa"/>
        <w:tblInd w:w="-107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1981"/>
        <w:gridCol w:w="1640"/>
        <w:gridCol w:w="1639"/>
        <w:gridCol w:w="1907"/>
      </w:tblGrid>
      <w:tr w:rsidR="00934C0C" w:rsidTr="00DF0992">
        <w:trPr>
          <w:trHeight w:val="27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4C0C" w:rsidRDefault="00934C0C" w:rsidP="00DF0992">
            <w:pPr>
              <w:ind w:right="2"/>
              <w:jc w:val="center"/>
            </w:pPr>
            <w:r>
              <w:rPr>
                <w:b/>
              </w:rPr>
              <w:t xml:space="preserve">Approved / Adopted By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4C0C" w:rsidRDefault="00934C0C" w:rsidP="00DF0992">
            <w:pPr>
              <w:ind w:left="1"/>
              <w:jc w:val="center"/>
            </w:pPr>
            <w:r>
              <w:rPr>
                <w:b/>
              </w:rPr>
              <w:t xml:space="preserve">Version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4C0C" w:rsidRDefault="00934C0C" w:rsidP="00DF0992">
            <w:pPr>
              <w:jc w:val="center"/>
            </w:pPr>
            <w:r>
              <w:rPr>
                <w:b/>
              </w:rPr>
              <w:t xml:space="preserve">Issue date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4C0C" w:rsidRDefault="00934C0C" w:rsidP="00DF0992">
            <w:pPr>
              <w:ind w:left="2"/>
              <w:jc w:val="center"/>
            </w:pPr>
            <w:r>
              <w:rPr>
                <w:b/>
              </w:rPr>
              <w:t xml:space="preserve">Review date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4C0C" w:rsidRDefault="00934C0C" w:rsidP="00DF0992">
            <w:pPr>
              <w:ind w:right="1"/>
              <w:jc w:val="center"/>
            </w:pPr>
            <w:r>
              <w:rPr>
                <w:b/>
              </w:rPr>
              <w:t xml:space="preserve">Contact person / position </w:t>
            </w:r>
          </w:p>
        </w:tc>
      </w:tr>
      <w:tr w:rsidR="00934C0C" w:rsidTr="00DF0992">
        <w:trPr>
          <w:trHeight w:val="2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0C" w:rsidRDefault="00934C0C" w:rsidP="00DF0992">
            <w:pPr>
              <w:jc w:val="center"/>
            </w:pPr>
            <w:r>
              <w:t xml:space="preserve">CEO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0C" w:rsidRDefault="00934C0C" w:rsidP="00DF0992">
            <w:pPr>
              <w:jc w:val="center"/>
            </w:pPr>
            <w: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0C" w:rsidRDefault="00934C0C" w:rsidP="00DF0992">
            <w:pPr>
              <w:ind w:right="2"/>
              <w:jc w:val="center"/>
            </w:pPr>
            <w:r>
              <w:t>Mar 2022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0C" w:rsidRDefault="00934C0C" w:rsidP="00DF0992">
            <w:pPr>
              <w:ind w:right="1"/>
              <w:jc w:val="center"/>
            </w:pPr>
            <w:r>
              <w:t>Mar 2023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0C" w:rsidRDefault="00934C0C" w:rsidP="00DF0992">
            <w:pPr>
              <w:ind w:right="2"/>
              <w:jc w:val="center"/>
            </w:pPr>
            <w:r>
              <w:t>CEO</w:t>
            </w:r>
          </w:p>
        </w:tc>
      </w:tr>
    </w:tbl>
    <w:p w:rsidR="00934C0C" w:rsidRDefault="00934C0C" w:rsidP="00934C0C">
      <w:pPr>
        <w:spacing w:after="0"/>
      </w:pP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 xml:space="preserve">Bristol Rovers Community Trust (BRCT) </w:t>
      </w:r>
      <w:r>
        <w:t>recognise and promote fundamental British values with the club</w:t>
      </w:r>
      <w:r>
        <w:t xml:space="preserve"> </w:t>
      </w:r>
      <w:r>
        <w:t>core valu</w:t>
      </w:r>
      <w:r>
        <w:t>es</w:t>
      </w:r>
      <w:r>
        <w:t>. This is</w:t>
      </w:r>
      <w:r>
        <w:t xml:space="preserve"> </w:t>
      </w:r>
      <w:r>
        <w:t>the key to building resilience to radicalisation on every level, allowing every young people</w:t>
      </w:r>
      <w:r>
        <w:t xml:space="preserve"> </w:t>
      </w:r>
      <w:r>
        <w:t>from diverse and ethnic backgrounds to reach their full potential within their sports team.</w:t>
      </w:r>
      <w:r>
        <w:t xml:space="preserve"> </w:t>
      </w:r>
      <w:r>
        <w:t>This has been recognised at every level with the prevent policy.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From 1st July 2015, all schools and childcare providers were required, under section 26 of</w:t>
      </w:r>
      <w:r>
        <w:t xml:space="preserve"> </w:t>
      </w:r>
      <w:r>
        <w:t>the Counter terrorism and Security Act 2015, to have due regard to the prevention of</w:t>
      </w:r>
      <w:r>
        <w:t xml:space="preserve"> </w:t>
      </w:r>
      <w:r>
        <w:t>people from being drawn into terrorism. This legalisation is primarily aimed at the education</w:t>
      </w:r>
      <w:r>
        <w:t xml:space="preserve"> </w:t>
      </w:r>
      <w:r>
        <w:t>system. However, all agencies having contact with young people must adhere to the</w:t>
      </w:r>
      <w:r>
        <w:t xml:space="preserve"> </w:t>
      </w:r>
      <w:r>
        <w:t xml:space="preserve">prospect of preventing radicalisation.  </w:t>
      </w:r>
      <w:r>
        <w:t xml:space="preserve">BRCT </w:t>
      </w:r>
      <w:r>
        <w:t>is responsible for the welfare</w:t>
      </w:r>
      <w:r>
        <w:t xml:space="preserve"> </w:t>
      </w:r>
      <w:r>
        <w:t xml:space="preserve">of all children and young </w:t>
      </w:r>
      <w:r>
        <w:t xml:space="preserve">people that partake in our services. </w:t>
      </w:r>
      <w:r>
        <w:t>BRCT adopt the policy strategy</w:t>
      </w:r>
      <w:r>
        <w:t xml:space="preserve"> </w:t>
      </w:r>
      <w:r>
        <w:t>laid down by the law to ensure the safeguarding of all.</w:t>
      </w:r>
      <w:r>
        <w:t xml:space="preserve"> </w:t>
      </w:r>
    </w:p>
    <w:p w:rsidR="00934C0C" w:rsidRDefault="00934C0C" w:rsidP="00934C0C">
      <w:pPr>
        <w:spacing w:after="0"/>
        <w:jc w:val="both"/>
      </w:pPr>
    </w:p>
    <w:p w:rsidR="00934C0C" w:rsidRPr="00934C0C" w:rsidRDefault="00934C0C" w:rsidP="00934C0C">
      <w:pPr>
        <w:spacing w:after="0"/>
        <w:jc w:val="both"/>
        <w:rPr>
          <w:b/>
        </w:rPr>
      </w:pPr>
      <w:r w:rsidRPr="00934C0C">
        <w:rPr>
          <w:b/>
        </w:rPr>
        <w:t>The Prevent Duty</w:t>
      </w:r>
    </w:p>
    <w:p w:rsidR="00934C0C" w:rsidRDefault="00934C0C" w:rsidP="00934C0C">
      <w:pPr>
        <w:spacing w:after="0"/>
        <w:jc w:val="both"/>
      </w:pPr>
      <w:r>
        <w:t xml:space="preserve">In dealing with the Prevent Duty it is important to recognise that the dealings that a </w:t>
      </w:r>
      <w:r>
        <w:t>BRCT staff / volunteer member</w:t>
      </w:r>
      <w:r>
        <w:t xml:space="preserve"> will be different to those of a child care professional, however, there are areas</w:t>
      </w:r>
      <w:r>
        <w:t xml:space="preserve"> </w:t>
      </w:r>
      <w:r>
        <w:t>that will overlap and these are reproduced here: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‘The general risks affecting children and young people may vary from area to area, and</w:t>
      </w:r>
      <w:r>
        <w:t xml:space="preserve"> </w:t>
      </w:r>
      <w:r>
        <w:t>according to their age. Schools and childcare providers are in an important position to</w:t>
      </w:r>
      <w:r>
        <w:t xml:space="preserve"> </w:t>
      </w:r>
      <w:r>
        <w:t>identify risks within a given local context. It is important that schools and childcare providers</w:t>
      </w:r>
      <w:r>
        <w:t xml:space="preserve"> </w:t>
      </w:r>
      <w:r>
        <w:t>understand these risks so that they can respond in an appropriate and proportionate way.’</w:t>
      </w:r>
      <w:r>
        <w:t xml:space="preserve"> 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‘There is no single way of identifying an individual who is likely to be susceptible to a</w:t>
      </w:r>
      <w:r>
        <w:t xml:space="preserve"> </w:t>
      </w:r>
      <w:r>
        <w:t>terrorist ideology.’</w:t>
      </w:r>
      <w:r>
        <w:t xml:space="preserve"> 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‘As with managing other safeguarding risks, staff should be alert to changes in children’s</w:t>
      </w:r>
      <w:r>
        <w:t xml:space="preserve"> </w:t>
      </w:r>
      <w:r>
        <w:t>behaviour which could indicate that they may be in need of help or protection. Children at</w:t>
      </w:r>
      <w:r>
        <w:t xml:space="preserve"> </w:t>
      </w:r>
      <w:r>
        <w:t>risk of radicalisation may display different signs or seek to hide their views.’</w:t>
      </w:r>
      <w:r>
        <w:t xml:space="preserve"> 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‘The Prevent duty does not require teachers or childcare providers to carry out unnecessary</w:t>
      </w:r>
      <w:r>
        <w:t xml:space="preserve"> </w:t>
      </w:r>
      <w:r>
        <w:t>intrusion into family life but as with any other safeguarding risk, they must take action when</w:t>
      </w:r>
      <w:r>
        <w:t xml:space="preserve"> </w:t>
      </w:r>
      <w:r>
        <w:t>they observe behaviour of concern.’</w:t>
      </w:r>
      <w:r>
        <w:t xml:space="preserve"> 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There may not be any one sign which will lead you to the belief a young person is being</w:t>
      </w:r>
      <w:r>
        <w:t xml:space="preserve"> </w:t>
      </w:r>
      <w:r>
        <w:t>radicalised. The general risks affecting children and young people may vary from area to</w:t>
      </w:r>
      <w:r>
        <w:t xml:space="preserve"> </w:t>
      </w:r>
      <w:r>
        <w:t xml:space="preserve">area, and according to their age. There is no single way of </w:t>
      </w:r>
      <w:r>
        <w:t xml:space="preserve">identifying an individual who is </w:t>
      </w:r>
      <w:r>
        <w:t>likely to be susceptible to a terrorist ideology. As with managing other safeguarding risks,</w:t>
      </w:r>
      <w:r>
        <w:t xml:space="preserve"> </w:t>
      </w:r>
      <w:r>
        <w:t>club personnel should be alert to changes in children’s behaviour that could indicate that</w:t>
      </w:r>
      <w:r>
        <w:t xml:space="preserve"> </w:t>
      </w:r>
      <w:r>
        <w:t>they may be in need of help or protection.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In these cases, the general safeguarding principles apply to the ‘Keeping Safe’ from</w:t>
      </w:r>
      <w:r>
        <w:t xml:space="preserve"> </w:t>
      </w:r>
      <w:r>
        <w:t>radicalisation as per the general safeguarding relevant statutory guidance and BRCT</w:t>
      </w:r>
      <w:r>
        <w:t xml:space="preserve"> </w:t>
      </w:r>
      <w:r>
        <w:t>policy. Any concerns of a young person being at risk demonstrated by</w:t>
      </w:r>
      <w:r>
        <w:t xml:space="preserve"> </w:t>
      </w:r>
      <w:r>
        <w:t>behaviour on or off the pitch, views posted online or concerns from family or friends should</w:t>
      </w:r>
      <w:r>
        <w:t xml:space="preserve"> </w:t>
      </w:r>
      <w:r>
        <w:t>be referred to the safeguarding lead.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Concern does not require any person to carry out any form of investigation but will</w:t>
      </w:r>
      <w:r>
        <w:t xml:space="preserve"> </w:t>
      </w:r>
      <w:r>
        <w:t>ultimately be referred to the relevant professional body.</w:t>
      </w:r>
    </w:p>
    <w:p w:rsidR="00934C0C" w:rsidRDefault="00934C0C" w:rsidP="00934C0C">
      <w:pPr>
        <w:spacing w:after="0"/>
        <w:jc w:val="both"/>
      </w:pPr>
    </w:p>
    <w:p w:rsidR="00934C0C" w:rsidRDefault="00934C0C" w:rsidP="00934C0C">
      <w:pPr>
        <w:spacing w:after="0"/>
        <w:jc w:val="both"/>
      </w:pPr>
      <w:r>
        <w:t>Government Policy Document</w:t>
      </w:r>
    </w:p>
    <w:p w:rsidR="00934C0C" w:rsidRDefault="00934C0C" w:rsidP="00934C0C">
      <w:pPr>
        <w:spacing w:after="0"/>
        <w:jc w:val="both"/>
      </w:pPr>
      <w:r>
        <w:t>https://www.gov.uk/government/uploads/system/uploads/attachment_data/file/439598/p</w:t>
      </w:r>
    </w:p>
    <w:p w:rsidR="00F74A4A" w:rsidRPr="00CF690C" w:rsidRDefault="00934C0C" w:rsidP="00934C0C">
      <w:pPr>
        <w:spacing w:after="0"/>
        <w:jc w:val="both"/>
      </w:pPr>
      <w:r>
        <w:t>revent-duty-departmental-advice-v6.pdf</w:t>
      </w:r>
      <w:r>
        <w:t xml:space="preserve"> </w:t>
      </w:r>
      <w:bookmarkStart w:id="0" w:name="_GoBack"/>
      <w:bookmarkEnd w:id="0"/>
    </w:p>
    <w:sectPr w:rsidR="00F74A4A" w:rsidRPr="00CF690C" w:rsidSect="00AE6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0" w:right="1440" w:bottom="1440" w:left="1440" w:header="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6B" w:rsidRDefault="00120E6B" w:rsidP="00482492">
      <w:pPr>
        <w:spacing w:after="0" w:line="240" w:lineRule="auto"/>
      </w:pPr>
      <w:r>
        <w:separator/>
      </w:r>
    </w:p>
  </w:endnote>
  <w:endnote w:type="continuationSeparator" w:id="0">
    <w:p w:rsidR="00120E6B" w:rsidRDefault="00120E6B" w:rsidP="0048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1" w:type="pct"/>
      <w:jc w:val="center"/>
      <w:tblBorders>
        <w:top w:val="double" w:sz="12" w:space="0" w:color="0070C0"/>
        <w:bottom w:val="double" w:sz="12" w:space="0" w:color="0070C0"/>
      </w:tblBorders>
      <w:shd w:val="clear" w:color="auto" w:fill="0070C0"/>
      <w:tblLook w:val="04A0" w:firstRow="1" w:lastRow="0" w:firstColumn="1" w:lastColumn="0" w:noHBand="0" w:noVBand="1"/>
    </w:tblPr>
    <w:tblGrid>
      <w:gridCol w:w="10445"/>
    </w:tblGrid>
    <w:tr w:rsidR="008E4E67" w:rsidRPr="00577D54" w:rsidTr="008E4E67">
      <w:trPr>
        <w:trHeight w:val="270"/>
        <w:jc w:val="center"/>
      </w:trPr>
      <w:tc>
        <w:tcPr>
          <w:tcW w:w="5000" w:type="pct"/>
          <w:shd w:val="clear" w:color="auto" w:fill="0070C0"/>
          <w:vAlign w:val="center"/>
        </w:tcPr>
        <w:p w:rsidR="008E4E67" w:rsidRPr="00E03ACA" w:rsidRDefault="008E4E67" w:rsidP="008E4E6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E03ACA">
            <w:rPr>
              <w:b/>
              <w:color w:val="FFFFFF" w:themeColor="background1"/>
              <w:sz w:val="18"/>
              <w:szCs w:val="18"/>
            </w:rPr>
            <w:t>The Memorial Stadium, Filton Avenue, Horfield, Bristol, BS7 0BF</w:t>
          </w:r>
        </w:p>
      </w:tc>
    </w:tr>
    <w:tr w:rsidR="008E4E67" w:rsidRPr="00577D54" w:rsidTr="008E4E67">
      <w:trPr>
        <w:trHeight w:val="270"/>
        <w:jc w:val="center"/>
      </w:trPr>
      <w:tc>
        <w:tcPr>
          <w:tcW w:w="5000" w:type="pct"/>
          <w:shd w:val="clear" w:color="auto" w:fill="0070C0"/>
          <w:vAlign w:val="center"/>
        </w:tcPr>
        <w:p w:rsidR="008E4E67" w:rsidRPr="00E03ACA" w:rsidRDefault="008E4E67" w:rsidP="008E4E6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color w:val="FFFFFF" w:themeColor="background1"/>
              <w:sz w:val="18"/>
              <w:szCs w:val="18"/>
            </w:rPr>
          </w:pPr>
          <w:r w:rsidRPr="00E03ACA">
            <w:rPr>
              <w:rFonts w:cs="Arial"/>
              <w:b/>
              <w:color w:val="FFFFFF" w:themeColor="background1"/>
              <w:sz w:val="18"/>
              <w:szCs w:val="18"/>
            </w:rPr>
            <w:t xml:space="preserve">Community Office: 0117 9522581   / </w:t>
          </w:r>
          <w:r>
            <w:rPr>
              <w:rFonts w:cs="Arial"/>
              <w:b/>
              <w:color w:val="FFFFFF" w:themeColor="background1"/>
              <w:sz w:val="18"/>
              <w:szCs w:val="18"/>
            </w:rPr>
            <w:t xml:space="preserve">  Education Office: 0117 9031152</w:t>
          </w:r>
        </w:p>
        <w:p w:rsidR="008E4E67" w:rsidRPr="00E03ACA" w:rsidRDefault="008E4E67" w:rsidP="008E4E6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E03ACA">
            <w:rPr>
              <w:rFonts w:cs="Arial"/>
              <w:b/>
              <w:color w:val="FFFFFF" w:themeColor="background1"/>
              <w:sz w:val="18"/>
              <w:szCs w:val="18"/>
            </w:rPr>
            <w:t>www.bristolroverscommunity.org.uk</w:t>
          </w:r>
          <w:r>
            <w:rPr>
              <w:rFonts w:cs="Arial"/>
              <w:b/>
              <w:color w:val="FFFFFF" w:themeColor="background1"/>
              <w:sz w:val="18"/>
              <w:szCs w:val="18"/>
            </w:rPr>
            <w:t xml:space="preserve"> </w:t>
          </w:r>
        </w:p>
      </w:tc>
    </w:tr>
  </w:tbl>
  <w:p w:rsidR="008E4E67" w:rsidRDefault="008E4E67" w:rsidP="00967F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B0CD747" wp14:editId="66ABBCAC">
          <wp:simplePos x="0" y="0"/>
          <wp:positionH relativeFrom="column">
            <wp:posOffset>-238125</wp:posOffset>
          </wp:positionH>
          <wp:positionV relativeFrom="paragraph">
            <wp:posOffset>46990</wp:posOffset>
          </wp:positionV>
          <wp:extent cx="381000" cy="38972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9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74295</wp:posOffset>
          </wp:positionV>
          <wp:extent cx="336550" cy="3429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74295</wp:posOffset>
          </wp:positionV>
          <wp:extent cx="342900" cy="368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1590675</wp:posOffset>
          </wp:positionH>
          <wp:positionV relativeFrom="paragraph">
            <wp:posOffset>83820</wp:posOffset>
          </wp:positionV>
          <wp:extent cx="342900" cy="330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2D0D9BC" wp14:editId="313DECD2">
          <wp:simplePos x="0" y="0"/>
          <wp:positionH relativeFrom="column">
            <wp:posOffset>5448300</wp:posOffset>
          </wp:positionH>
          <wp:positionV relativeFrom="paragraph">
            <wp:posOffset>8255</wp:posOffset>
          </wp:positionV>
          <wp:extent cx="561975" cy="471073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fe 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7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80645</wp:posOffset>
          </wp:positionV>
          <wp:extent cx="209550" cy="36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112395</wp:posOffset>
          </wp:positionV>
          <wp:extent cx="596900" cy="25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55245</wp:posOffset>
          </wp:positionV>
          <wp:extent cx="228600" cy="381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112395</wp:posOffset>
          </wp:positionV>
          <wp:extent cx="1066800" cy="266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E67" w:rsidRPr="00967F56" w:rsidRDefault="008E4E67" w:rsidP="00967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1" w:type="pct"/>
      <w:jc w:val="center"/>
      <w:tblBorders>
        <w:top w:val="double" w:sz="12" w:space="0" w:color="0070C0"/>
        <w:bottom w:val="double" w:sz="12" w:space="0" w:color="0070C0"/>
      </w:tblBorders>
      <w:shd w:val="clear" w:color="auto" w:fill="0070C0"/>
      <w:tblLook w:val="04A0" w:firstRow="1" w:lastRow="0" w:firstColumn="1" w:lastColumn="0" w:noHBand="0" w:noVBand="1"/>
    </w:tblPr>
    <w:tblGrid>
      <w:gridCol w:w="10445"/>
    </w:tblGrid>
    <w:tr w:rsidR="008E4E67" w:rsidRPr="00577D54" w:rsidTr="005F73CA">
      <w:trPr>
        <w:trHeight w:val="270"/>
        <w:jc w:val="center"/>
      </w:trPr>
      <w:tc>
        <w:tcPr>
          <w:tcW w:w="5000" w:type="pct"/>
          <w:shd w:val="clear" w:color="auto" w:fill="0070C0"/>
          <w:vAlign w:val="center"/>
        </w:tcPr>
        <w:p w:rsidR="008E4E67" w:rsidRPr="00E03ACA" w:rsidRDefault="008E4E67" w:rsidP="008E4E6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E03ACA">
            <w:rPr>
              <w:b/>
              <w:color w:val="FFFFFF" w:themeColor="background1"/>
              <w:sz w:val="18"/>
              <w:szCs w:val="18"/>
            </w:rPr>
            <w:t>The Memorial Stadium, Filton Avenue, Horfield, Bristol, BS7 0BF</w:t>
          </w:r>
        </w:p>
      </w:tc>
    </w:tr>
    <w:tr w:rsidR="008E4E67" w:rsidRPr="00577D54" w:rsidTr="005F73CA">
      <w:trPr>
        <w:trHeight w:val="270"/>
        <w:jc w:val="center"/>
      </w:trPr>
      <w:tc>
        <w:tcPr>
          <w:tcW w:w="5000" w:type="pct"/>
          <w:shd w:val="clear" w:color="auto" w:fill="0070C0"/>
          <w:vAlign w:val="center"/>
        </w:tcPr>
        <w:p w:rsidR="008E4E67" w:rsidRPr="00E03ACA" w:rsidRDefault="008E4E67" w:rsidP="008E4E6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color w:val="FFFFFF" w:themeColor="background1"/>
              <w:sz w:val="18"/>
              <w:szCs w:val="18"/>
            </w:rPr>
          </w:pPr>
          <w:r w:rsidRPr="00E03ACA">
            <w:rPr>
              <w:rFonts w:cs="Arial"/>
              <w:b/>
              <w:color w:val="FFFFFF" w:themeColor="background1"/>
              <w:sz w:val="18"/>
              <w:szCs w:val="18"/>
            </w:rPr>
            <w:t>Community Office: 0117 9522581   /   Education Office: 0117 9524002</w:t>
          </w:r>
        </w:p>
        <w:p w:rsidR="008E4E67" w:rsidRPr="00E03ACA" w:rsidRDefault="008E4E67" w:rsidP="008E4E6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E03ACA">
            <w:rPr>
              <w:rFonts w:cs="Arial"/>
              <w:b/>
              <w:color w:val="FFFFFF" w:themeColor="background1"/>
              <w:sz w:val="18"/>
              <w:szCs w:val="18"/>
            </w:rPr>
            <w:t>www.bristolroverscommunity.org.uk</w:t>
          </w:r>
          <w:r>
            <w:rPr>
              <w:rFonts w:cs="Arial"/>
              <w:b/>
              <w:color w:val="FFFFFF" w:themeColor="background1"/>
              <w:sz w:val="18"/>
              <w:szCs w:val="18"/>
            </w:rPr>
            <w:t xml:space="preserve"> </w:t>
          </w:r>
        </w:p>
      </w:tc>
    </w:tr>
  </w:tbl>
  <w:p w:rsidR="008E4E67" w:rsidRDefault="008E4E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0E653CD" wp14:editId="4F29C17A">
          <wp:simplePos x="0" y="0"/>
          <wp:positionH relativeFrom="column">
            <wp:posOffset>4607560</wp:posOffset>
          </wp:positionH>
          <wp:positionV relativeFrom="paragraph">
            <wp:posOffset>167005</wp:posOffset>
          </wp:positionV>
          <wp:extent cx="595630" cy="25527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FF055A4" wp14:editId="121232C6">
          <wp:simplePos x="0" y="0"/>
          <wp:positionH relativeFrom="column">
            <wp:posOffset>3982085</wp:posOffset>
          </wp:positionH>
          <wp:positionV relativeFrom="paragraph">
            <wp:posOffset>71755</wp:posOffset>
          </wp:positionV>
          <wp:extent cx="212090" cy="37147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F328043" wp14:editId="2F6F7C3B">
          <wp:simplePos x="0" y="0"/>
          <wp:positionH relativeFrom="column">
            <wp:posOffset>2720561</wp:posOffset>
          </wp:positionH>
          <wp:positionV relativeFrom="paragraph">
            <wp:posOffset>81280</wp:posOffset>
          </wp:positionV>
          <wp:extent cx="722630" cy="312420"/>
          <wp:effectExtent l="0" t="0" r="127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2096" behindDoc="0" locked="0" layoutInCell="1" allowOverlap="1" wp14:anchorId="62FDC0DE" wp14:editId="3BDCF1E5">
          <wp:simplePos x="0" y="0"/>
          <wp:positionH relativeFrom="column">
            <wp:posOffset>505460</wp:posOffset>
          </wp:positionH>
          <wp:positionV relativeFrom="paragraph">
            <wp:posOffset>71755</wp:posOffset>
          </wp:positionV>
          <wp:extent cx="335915" cy="341630"/>
          <wp:effectExtent l="0" t="0" r="6985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2638B197" wp14:editId="6801A7B3">
          <wp:simplePos x="0" y="0"/>
          <wp:positionH relativeFrom="column">
            <wp:posOffset>1266190</wp:posOffset>
          </wp:positionH>
          <wp:positionV relativeFrom="paragraph">
            <wp:posOffset>90805</wp:posOffset>
          </wp:positionV>
          <wp:extent cx="340995" cy="371475"/>
          <wp:effectExtent l="0" t="0" r="1905" b="952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228B608F" wp14:editId="58042251">
          <wp:simplePos x="0" y="0"/>
          <wp:positionH relativeFrom="column">
            <wp:posOffset>-206734</wp:posOffset>
          </wp:positionH>
          <wp:positionV relativeFrom="paragraph">
            <wp:posOffset>72059</wp:posOffset>
          </wp:positionV>
          <wp:extent cx="342900" cy="33210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1A56B7F" wp14:editId="3219BA75">
          <wp:simplePos x="0" y="0"/>
          <wp:positionH relativeFrom="column">
            <wp:posOffset>1955441</wp:posOffset>
          </wp:positionH>
          <wp:positionV relativeFrom="paragraph">
            <wp:posOffset>72059</wp:posOffset>
          </wp:positionV>
          <wp:extent cx="514985" cy="341630"/>
          <wp:effectExtent l="0" t="0" r="0" b="127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12F3BF" wp14:editId="121DA6AE">
          <wp:simplePos x="0" y="0"/>
          <wp:positionH relativeFrom="column">
            <wp:posOffset>5660666</wp:posOffset>
          </wp:positionH>
          <wp:positionV relativeFrom="paragraph">
            <wp:posOffset>81584</wp:posOffset>
          </wp:positionV>
          <wp:extent cx="228600" cy="38354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6B" w:rsidRDefault="00120E6B" w:rsidP="00482492">
      <w:pPr>
        <w:spacing w:after="0" w:line="240" w:lineRule="auto"/>
      </w:pPr>
      <w:r>
        <w:separator/>
      </w:r>
    </w:p>
  </w:footnote>
  <w:footnote w:type="continuationSeparator" w:id="0">
    <w:p w:rsidR="00120E6B" w:rsidRDefault="00120E6B" w:rsidP="0048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67" w:rsidRDefault="008E4E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6A1B04" wp14:editId="549B4A02">
          <wp:simplePos x="0" y="0"/>
          <wp:positionH relativeFrom="page">
            <wp:posOffset>3150235</wp:posOffset>
          </wp:positionH>
          <wp:positionV relativeFrom="paragraph">
            <wp:posOffset>186426</wp:posOffset>
          </wp:positionV>
          <wp:extent cx="1216152" cy="121615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-Rover-Community-Trust-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67" w:rsidRDefault="008E4E67" w:rsidP="003F7DE6">
    <w:pPr>
      <w:pStyle w:val="Header"/>
      <w:jc w:val="center"/>
      <w:rPr>
        <w:sz w:val="8"/>
      </w:rPr>
    </w:pPr>
    <w:r>
      <w:rPr>
        <w:noProof/>
        <w:lang w:eastAsia="en-GB"/>
      </w:rPr>
      <w:drawing>
        <wp:inline distT="0" distB="0" distL="0" distR="0" wp14:anchorId="448563F3" wp14:editId="4C5841EF">
          <wp:extent cx="2190534" cy="771032"/>
          <wp:effectExtent l="0" t="0" r="63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549" cy="771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E67" w:rsidRPr="009224A4" w:rsidRDefault="008E4E6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32.5pt;height:141.75pt" o:bullet="t">
        <v:imagedata r:id="rId1" o:title="onegameonecommunity"/>
      </v:shape>
    </w:pict>
  </w:numPicBullet>
  <w:abstractNum w:abstractNumId="0" w15:restartNumberingAfterBreak="0">
    <w:nsid w:val="00393107"/>
    <w:multiLevelType w:val="hybridMultilevel"/>
    <w:tmpl w:val="4EAE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973"/>
    <w:multiLevelType w:val="hybridMultilevel"/>
    <w:tmpl w:val="924E5A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0C07"/>
    <w:multiLevelType w:val="hybridMultilevel"/>
    <w:tmpl w:val="48BE32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AD5251"/>
    <w:multiLevelType w:val="hybridMultilevel"/>
    <w:tmpl w:val="4A6C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81D7C"/>
    <w:multiLevelType w:val="hybridMultilevel"/>
    <w:tmpl w:val="A65496BE"/>
    <w:lvl w:ilvl="0" w:tplc="708AF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01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06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EE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8B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6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45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E2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AE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384C83"/>
    <w:multiLevelType w:val="hybridMultilevel"/>
    <w:tmpl w:val="F4AE47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42B2"/>
    <w:multiLevelType w:val="hybridMultilevel"/>
    <w:tmpl w:val="8804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F43C3"/>
    <w:multiLevelType w:val="hybridMultilevel"/>
    <w:tmpl w:val="BFD6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2436A"/>
    <w:multiLevelType w:val="hybridMultilevel"/>
    <w:tmpl w:val="EAB0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05C3"/>
    <w:multiLevelType w:val="hybridMultilevel"/>
    <w:tmpl w:val="98DA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92"/>
    <w:rsid w:val="00003FBE"/>
    <w:rsid w:val="00015F77"/>
    <w:rsid w:val="00016F2E"/>
    <w:rsid w:val="00020CF3"/>
    <w:rsid w:val="00026A2F"/>
    <w:rsid w:val="00030725"/>
    <w:rsid w:val="000308E0"/>
    <w:rsid w:val="00040E9F"/>
    <w:rsid w:val="00046300"/>
    <w:rsid w:val="00051BB8"/>
    <w:rsid w:val="0005755B"/>
    <w:rsid w:val="0006442C"/>
    <w:rsid w:val="00065A59"/>
    <w:rsid w:val="000736D6"/>
    <w:rsid w:val="00075796"/>
    <w:rsid w:val="00076F14"/>
    <w:rsid w:val="0008429F"/>
    <w:rsid w:val="000921D8"/>
    <w:rsid w:val="0009324B"/>
    <w:rsid w:val="000B0114"/>
    <w:rsid w:val="000B3633"/>
    <w:rsid w:val="000D3DE2"/>
    <w:rsid w:val="000D5B47"/>
    <w:rsid w:val="000E6883"/>
    <w:rsid w:val="001060B1"/>
    <w:rsid w:val="00110B30"/>
    <w:rsid w:val="0011305D"/>
    <w:rsid w:val="00116128"/>
    <w:rsid w:val="00120E6B"/>
    <w:rsid w:val="001235EA"/>
    <w:rsid w:val="00125B2C"/>
    <w:rsid w:val="00125F00"/>
    <w:rsid w:val="001307A5"/>
    <w:rsid w:val="0013461B"/>
    <w:rsid w:val="00140426"/>
    <w:rsid w:val="001440CD"/>
    <w:rsid w:val="001622F6"/>
    <w:rsid w:val="001917B0"/>
    <w:rsid w:val="001A71E6"/>
    <w:rsid w:val="001A7DD3"/>
    <w:rsid w:val="001B5CBA"/>
    <w:rsid w:val="001D6C7A"/>
    <w:rsid w:val="001D73C2"/>
    <w:rsid w:val="001E5C27"/>
    <w:rsid w:val="001F085C"/>
    <w:rsid w:val="001F48B9"/>
    <w:rsid w:val="00205338"/>
    <w:rsid w:val="0020692B"/>
    <w:rsid w:val="00223624"/>
    <w:rsid w:val="0022790D"/>
    <w:rsid w:val="00236D13"/>
    <w:rsid w:val="00240868"/>
    <w:rsid w:val="00251107"/>
    <w:rsid w:val="0025455F"/>
    <w:rsid w:val="00260421"/>
    <w:rsid w:val="00272348"/>
    <w:rsid w:val="00277571"/>
    <w:rsid w:val="00282A6F"/>
    <w:rsid w:val="002871B5"/>
    <w:rsid w:val="002B04CC"/>
    <w:rsid w:val="002C48FF"/>
    <w:rsid w:val="002D4E82"/>
    <w:rsid w:val="002E515B"/>
    <w:rsid w:val="002E6C36"/>
    <w:rsid w:val="002F00E2"/>
    <w:rsid w:val="002F59CE"/>
    <w:rsid w:val="00311500"/>
    <w:rsid w:val="00313CCE"/>
    <w:rsid w:val="003331A6"/>
    <w:rsid w:val="003331B7"/>
    <w:rsid w:val="003362FD"/>
    <w:rsid w:val="003438E0"/>
    <w:rsid w:val="003509A7"/>
    <w:rsid w:val="00357D99"/>
    <w:rsid w:val="00361E86"/>
    <w:rsid w:val="00370BB3"/>
    <w:rsid w:val="003908CF"/>
    <w:rsid w:val="003937A1"/>
    <w:rsid w:val="00394216"/>
    <w:rsid w:val="00397E56"/>
    <w:rsid w:val="003A7612"/>
    <w:rsid w:val="003B0E3F"/>
    <w:rsid w:val="003B16EE"/>
    <w:rsid w:val="003B2756"/>
    <w:rsid w:val="003C13BA"/>
    <w:rsid w:val="003C6A78"/>
    <w:rsid w:val="003D54E8"/>
    <w:rsid w:val="003D598A"/>
    <w:rsid w:val="003E105C"/>
    <w:rsid w:val="003E60E2"/>
    <w:rsid w:val="003F1C2F"/>
    <w:rsid w:val="003F414D"/>
    <w:rsid w:val="003F578D"/>
    <w:rsid w:val="003F7DE6"/>
    <w:rsid w:val="00402621"/>
    <w:rsid w:val="00405D6A"/>
    <w:rsid w:val="0041367B"/>
    <w:rsid w:val="00414F6B"/>
    <w:rsid w:val="004204E4"/>
    <w:rsid w:val="00421451"/>
    <w:rsid w:val="00430199"/>
    <w:rsid w:val="004479D6"/>
    <w:rsid w:val="00461793"/>
    <w:rsid w:val="00466CD4"/>
    <w:rsid w:val="0047026B"/>
    <w:rsid w:val="00470660"/>
    <w:rsid w:val="004736BF"/>
    <w:rsid w:val="00476BC4"/>
    <w:rsid w:val="00482492"/>
    <w:rsid w:val="0049675F"/>
    <w:rsid w:val="004A1259"/>
    <w:rsid w:val="004B330B"/>
    <w:rsid w:val="004C7514"/>
    <w:rsid w:val="004E71DD"/>
    <w:rsid w:val="004F5CBC"/>
    <w:rsid w:val="00501567"/>
    <w:rsid w:val="00503F37"/>
    <w:rsid w:val="00513908"/>
    <w:rsid w:val="0051763D"/>
    <w:rsid w:val="00521201"/>
    <w:rsid w:val="00521564"/>
    <w:rsid w:val="00533322"/>
    <w:rsid w:val="0054130B"/>
    <w:rsid w:val="00542C3C"/>
    <w:rsid w:val="00544CE0"/>
    <w:rsid w:val="00572C5F"/>
    <w:rsid w:val="00573507"/>
    <w:rsid w:val="00577D54"/>
    <w:rsid w:val="0058636A"/>
    <w:rsid w:val="005970FD"/>
    <w:rsid w:val="005B328F"/>
    <w:rsid w:val="005D4444"/>
    <w:rsid w:val="005E5215"/>
    <w:rsid w:val="005F73CA"/>
    <w:rsid w:val="0060557F"/>
    <w:rsid w:val="0061723C"/>
    <w:rsid w:val="00623D80"/>
    <w:rsid w:val="00625F6D"/>
    <w:rsid w:val="006541EB"/>
    <w:rsid w:val="006619D7"/>
    <w:rsid w:val="00665BC4"/>
    <w:rsid w:val="006665F1"/>
    <w:rsid w:val="00667FD6"/>
    <w:rsid w:val="006826D8"/>
    <w:rsid w:val="0068369A"/>
    <w:rsid w:val="00685105"/>
    <w:rsid w:val="00696383"/>
    <w:rsid w:val="006971AA"/>
    <w:rsid w:val="006A34E5"/>
    <w:rsid w:val="006B4127"/>
    <w:rsid w:val="006C3D5F"/>
    <w:rsid w:val="006C421F"/>
    <w:rsid w:val="006F07D9"/>
    <w:rsid w:val="006F0C77"/>
    <w:rsid w:val="00712E75"/>
    <w:rsid w:val="0072195A"/>
    <w:rsid w:val="00731A0B"/>
    <w:rsid w:val="00735744"/>
    <w:rsid w:val="007416CC"/>
    <w:rsid w:val="00765B1A"/>
    <w:rsid w:val="00777DE4"/>
    <w:rsid w:val="00782706"/>
    <w:rsid w:val="0078774D"/>
    <w:rsid w:val="007A6EB7"/>
    <w:rsid w:val="007C32C9"/>
    <w:rsid w:val="007E3CAB"/>
    <w:rsid w:val="008047AE"/>
    <w:rsid w:val="008078AD"/>
    <w:rsid w:val="0081723C"/>
    <w:rsid w:val="00821650"/>
    <w:rsid w:val="00831358"/>
    <w:rsid w:val="008330A0"/>
    <w:rsid w:val="008333FF"/>
    <w:rsid w:val="00841468"/>
    <w:rsid w:val="00850D4C"/>
    <w:rsid w:val="00850FAA"/>
    <w:rsid w:val="00851244"/>
    <w:rsid w:val="00853435"/>
    <w:rsid w:val="00871067"/>
    <w:rsid w:val="00874213"/>
    <w:rsid w:val="00896C62"/>
    <w:rsid w:val="008B5101"/>
    <w:rsid w:val="008E457E"/>
    <w:rsid w:val="008E4E67"/>
    <w:rsid w:val="009000F6"/>
    <w:rsid w:val="00905B94"/>
    <w:rsid w:val="00913D9B"/>
    <w:rsid w:val="009140B8"/>
    <w:rsid w:val="009224A4"/>
    <w:rsid w:val="00927538"/>
    <w:rsid w:val="009308E7"/>
    <w:rsid w:val="00933321"/>
    <w:rsid w:val="00934C0C"/>
    <w:rsid w:val="00941F92"/>
    <w:rsid w:val="00943D52"/>
    <w:rsid w:val="009517BF"/>
    <w:rsid w:val="00954315"/>
    <w:rsid w:val="00955642"/>
    <w:rsid w:val="00967F56"/>
    <w:rsid w:val="009941B3"/>
    <w:rsid w:val="009A4FF3"/>
    <w:rsid w:val="009B331B"/>
    <w:rsid w:val="009B67DF"/>
    <w:rsid w:val="009D1C8E"/>
    <w:rsid w:val="009D384D"/>
    <w:rsid w:val="009D7D40"/>
    <w:rsid w:val="009E16AC"/>
    <w:rsid w:val="009F0002"/>
    <w:rsid w:val="009F51F2"/>
    <w:rsid w:val="00A040AD"/>
    <w:rsid w:val="00A116B7"/>
    <w:rsid w:val="00A1215F"/>
    <w:rsid w:val="00A128DD"/>
    <w:rsid w:val="00A13E71"/>
    <w:rsid w:val="00A171CF"/>
    <w:rsid w:val="00A24C01"/>
    <w:rsid w:val="00A336E7"/>
    <w:rsid w:val="00A41BA6"/>
    <w:rsid w:val="00A449B1"/>
    <w:rsid w:val="00A53DA9"/>
    <w:rsid w:val="00A669DD"/>
    <w:rsid w:val="00A70B6C"/>
    <w:rsid w:val="00A86914"/>
    <w:rsid w:val="00A86DDD"/>
    <w:rsid w:val="00A87071"/>
    <w:rsid w:val="00AA01EB"/>
    <w:rsid w:val="00AA7279"/>
    <w:rsid w:val="00AC1A66"/>
    <w:rsid w:val="00AD419A"/>
    <w:rsid w:val="00AD5AE3"/>
    <w:rsid w:val="00AD67CD"/>
    <w:rsid w:val="00AE193C"/>
    <w:rsid w:val="00AE63CE"/>
    <w:rsid w:val="00AF1A9E"/>
    <w:rsid w:val="00B0564B"/>
    <w:rsid w:val="00B06D3A"/>
    <w:rsid w:val="00B07C0C"/>
    <w:rsid w:val="00B200CB"/>
    <w:rsid w:val="00B23C35"/>
    <w:rsid w:val="00B37152"/>
    <w:rsid w:val="00B41B7B"/>
    <w:rsid w:val="00B46F0F"/>
    <w:rsid w:val="00B47AA3"/>
    <w:rsid w:val="00B60181"/>
    <w:rsid w:val="00B654C0"/>
    <w:rsid w:val="00B741C2"/>
    <w:rsid w:val="00BB4872"/>
    <w:rsid w:val="00BC0C5A"/>
    <w:rsid w:val="00BD2226"/>
    <w:rsid w:val="00BE0036"/>
    <w:rsid w:val="00BE192A"/>
    <w:rsid w:val="00BE3F73"/>
    <w:rsid w:val="00BE5101"/>
    <w:rsid w:val="00C00C15"/>
    <w:rsid w:val="00C054C1"/>
    <w:rsid w:val="00C17C7A"/>
    <w:rsid w:val="00C24D5B"/>
    <w:rsid w:val="00C324ED"/>
    <w:rsid w:val="00C42906"/>
    <w:rsid w:val="00C4557E"/>
    <w:rsid w:val="00C45982"/>
    <w:rsid w:val="00C47FF6"/>
    <w:rsid w:val="00C51DCC"/>
    <w:rsid w:val="00C5435D"/>
    <w:rsid w:val="00C54673"/>
    <w:rsid w:val="00C63D25"/>
    <w:rsid w:val="00C8140D"/>
    <w:rsid w:val="00CA6CDD"/>
    <w:rsid w:val="00CA7DB9"/>
    <w:rsid w:val="00CB3DF3"/>
    <w:rsid w:val="00CC0D72"/>
    <w:rsid w:val="00CC1B64"/>
    <w:rsid w:val="00CC3B23"/>
    <w:rsid w:val="00CC4240"/>
    <w:rsid w:val="00CC6D01"/>
    <w:rsid w:val="00CF2C46"/>
    <w:rsid w:val="00CF39D8"/>
    <w:rsid w:val="00CF690C"/>
    <w:rsid w:val="00D0537F"/>
    <w:rsid w:val="00D21FD5"/>
    <w:rsid w:val="00D30BE3"/>
    <w:rsid w:val="00D43E0F"/>
    <w:rsid w:val="00D65A2B"/>
    <w:rsid w:val="00D673BC"/>
    <w:rsid w:val="00D83827"/>
    <w:rsid w:val="00DA727E"/>
    <w:rsid w:val="00DA7C02"/>
    <w:rsid w:val="00DB2489"/>
    <w:rsid w:val="00DD0388"/>
    <w:rsid w:val="00DE1C03"/>
    <w:rsid w:val="00DE6409"/>
    <w:rsid w:val="00E000F5"/>
    <w:rsid w:val="00E03ACA"/>
    <w:rsid w:val="00E10E0C"/>
    <w:rsid w:val="00E12B6A"/>
    <w:rsid w:val="00E15841"/>
    <w:rsid w:val="00E2311E"/>
    <w:rsid w:val="00E77C19"/>
    <w:rsid w:val="00E855C0"/>
    <w:rsid w:val="00E9154A"/>
    <w:rsid w:val="00E9242B"/>
    <w:rsid w:val="00E93E96"/>
    <w:rsid w:val="00EA0640"/>
    <w:rsid w:val="00EA1310"/>
    <w:rsid w:val="00EA15B6"/>
    <w:rsid w:val="00EB73B2"/>
    <w:rsid w:val="00EC1750"/>
    <w:rsid w:val="00EC3F25"/>
    <w:rsid w:val="00ED05DA"/>
    <w:rsid w:val="00ED313F"/>
    <w:rsid w:val="00EE57E1"/>
    <w:rsid w:val="00EF038D"/>
    <w:rsid w:val="00EF094F"/>
    <w:rsid w:val="00F0105B"/>
    <w:rsid w:val="00F14F73"/>
    <w:rsid w:val="00F168ED"/>
    <w:rsid w:val="00F429B3"/>
    <w:rsid w:val="00F43272"/>
    <w:rsid w:val="00F52A0D"/>
    <w:rsid w:val="00F57AB0"/>
    <w:rsid w:val="00F67924"/>
    <w:rsid w:val="00F70DE2"/>
    <w:rsid w:val="00F71399"/>
    <w:rsid w:val="00F74A4A"/>
    <w:rsid w:val="00F802AA"/>
    <w:rsid w:val="00F91F7D"/>
    <w:rsid w:val="00F92E78"/>
    <w:rsid w:val="00FA36D4"/>
    <w:rsid w:val="00FA4143"/>
    <w:rsid w:val="00FA6B3A"/>
    <w:rsid w:val="00FB1990"/>
    <w:rsid w:val="00FC4601"/>
    <w:rsid w:val="00FC4613"/>
    <w:rsid w:val="00FC7467"/>
    <w:rsid w:val="00FD0B6D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50BB1-BB24-44F0-BF3A-F746C60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92"/>
  </w:style>
  <w:style w:type="paragraph" w:styleId="Footer">
    <w:name w:val="footer"/>
    <w:basedOn w:val="Normal"/>
    <w:link w:val="FooterChar"/>
    <w:uiPriority w:val="99"/>
    <w:unhideWhenUsed/>
    <w:rsid w:val="0048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92"/>
  </w:style>
  <w:style w:type="paragraph" w:styleId="BalloonText">
    <w:name w:val="Balloon Text"/>
    <w:basedOn w:val="Normal"/>
    <w:link w:val="BalloonTextChar"/>
    <w:uiPriority w:val="99"/>
    <w:semiHidden/>
    <w:unhideWhenUsed/>
    <w:rsid w:val="0048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E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93E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link w:val="BodyText"/>
    <w:semiHidden/>
    <w:rsid w:val="00E93E96"/>
    <w:rPr>
      <w:rFonts w:ascii="Arial" w:eastAsia="Times New Roman" w:hAnsi="Arial" w:cs="Arial"/>
      <w:b/>
      <w:bCs/>
      <w:sz w:val="28"/>
      <w:szCs w:val="24"/>
    </w:rPr>
  </w:style>
  <w:style w:type="paragraph" w:styleId="NormalWeb">
    <w:name w:val="Normal (Web)"/>
    <w:basedOn w:val="Normal"/>
    <w:rsid w:val="00FA4143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A4143"/>
    <w:rPr>
      <w:b/>
      <w:bCs/>
    </w:rPr>
  </w:style>
  <w:style w:type="character" w:styleId="Hyperlink">
    <w:name w:val="Hyperlink"/>
    <w:uiPriority w:val="99"/>
    <w:unhideWhenUsed/>
    <w:rsid w:val="00CC0D72"/>
    <w:rPr>
      <w:color w:val="0000FF"/>
      <w:u w:val="single"/>
    </w:rPr>
  </w:style>
  <w:style w:type="paragraph" w:styleId="NoSpacing">
    <w:name w:val="No Spacing"/>
    <w:uiPriority w:val="1"/>
    <w:qFormat/>
    <w:rsid w:val="006541E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3B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3507"/>
    <w:pPr>
      <w:ind w:left="720"/>
      <w:contextualSpacing/>
    </w:pPr>
  </w:style>
  <w:style w:type="table" w:customStyle="1" w:styleId="TableGrid0">
    <w:name w:val="TableGrid"/>
    <w:rsid w:val="00D838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13.png"/><Relationship Id="rId7" Type="http://schemas.openxmlformats.org/officeDocument/2006/relationships/image" Target="media/image14.jpg"/><Relationship Id="rId2" Type="http://schemas.openxmlformats.org/officeDocument/2006/relationships/image" Target="media/image8.jpeg"/><Relationship Id="rId1" Type="http://schemas.openxmlformats.org/officeDocument/2006/relationships/image" Target="media/image9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5408-A79E-4762-B94E-4E3EEC1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Community1</cp:lastModifiedBy>
  <cp:revision>3</cp:revision>
  <cp:lastPrinted>2021-06-17T15:01:00Z</cp:lastPrinted>
  <dcterms:created xsi:type="dcterms:W3CDTF">2022-03-17T16:18:00Z</dcterms:created>
  <dcterms:modified xsi:type="dcterms:W3CDTF">2022-03-17T16:26:00Z</dcterms:modified>
</cp:coreProperties>
</file>